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66304">
      <w:pPr>
        <w:keepNext w:val="0"/>
        <w:keepLines w:val="0"/>
        <w:pageBreakBefore w:val="0"/>
        <w:kinsoku/>
        <w:wordWrap/>
        <w:overflowPunct/>
        <w:topLinePunct w:val="0"/>
        <w:autoSpaceDE/>
        <w:autoSpaceDN/>
        <w:bidi w:val="0"/>
        <w:adjustRightInd/>
        <w:spacing w:line="240" w:lineRule="auto"/>
        <w:ind w:left="0"/>
        <w:jc w:val="both"/>
        <w:textAlignment w:val="auto"/>
        <w:rPr>
          <w:rFonts w:ascii="仿宋_GB2312" w:eastAsia="仿宋_GB2312"/>
          <w:sz w:val="11"/>
          <w:szCs w:val="10"/>
        </w:rPr>
      </w:pPr>
      <w:bookmarkStart w:id="0" w:name="_GoBack"/>
      <w:bookmarkEnd w:id="0"/>
    </w:p>
    <w:p w14:paraId="532110F0">
      <w:pPr>
        <w:keepNext w:val="0"/>
        <w:keepLines w:val="0"/>
        <w:pageBreakBefore w:val="0"/>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中康协〔20</w:t>
      </w:r>
      <w:r>
        <w:rPr>
          <w:rFonts w:hint="eastAsia" w:ascii="仿宋" w:hAnsi="仿宋" w:eastAsia="仿宋"/>
          <w:sz w:val="32"/>
          <w:szCs w:val="32"/>
          <w:lang w:val="en-US" w:eastAsia="zh-CN"/>
        </w:rPr>
        <w:t>25</w:t>
      </w:r>
      <w:r>
        <w:rPr>
          <w:rFonts w:hint="eastAsia" w:ascii="仿宋" w:hAnsi="仿宋" w:eastAsia="仿宋"/>
          <w:sz w:val="32"/>
          <w:szCs w:val="32"/>
        </w:rPr>
        <w:t>〕</w:t>
      </w:r>
      <w:r>
        <w:rPr>
          <w:rFonts w:hint="eastAsia" w:ascii="仿宋" w:hAnsi="仿宋" w:eastAsia="仿宋"/>
          <w:sz w:val="32"/>
          <w:szCs w:val="32"/>
          <w:lang w:val="en-US" w:eastAsia="zh-CN"/>
        </w:rPr>
        <w:t>12</w:t>
      </w:r>
      <w:r>
        <w:rPr>
          <w:rFonts w:hint="eastAsia" w:ascii="仿宋" w:hAnsi="仿宋" w:eastAsia="仿宋"/>
          <w:sz w:val="32"/>
          <w:szCs w:val="32"/>
        </w:rPr>
        <w:t>号</w:t>
      </w:r>
    </w:p>
    <w:p w14:paraId="647DB924">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eastAsia="仿宋_GB2312"/>
          <w:sz w:val="32"/>
          <w:szCs w:val="32"/>
        </w:rPr>
      </w:pPr>
    </w:p>
    <w:p w14:paraId="45AC7B6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b/>
          <w:szCs w:val="21"/>
        </w:rPr>
      </w:pPr>
      <w:r>
        <w:rPr>
          <w:rFonts w:hint="eastAsia" w:ascii="宋体" w:hAnsi="宋体"/>
          <w:b/>
          <w:spacing w:val="-6"/>
          <w:sz w:val="44"/>
          <w:szCs w:val="44"/>
        </w:rPr>
        <w:t>关于组团</w:t>
      </w:r>
      <w:r>
        <w:rPr>
          <w:rFonts w:hint="eastAsia" w:ascii="宋体" w:hAnsi="宋体"/>
          <w:b/>
          <w:spacing w:val="-6"/>
          <w:sz w:val="44"/>
          <w:szCs w:val="44"/>
          <w:lang w:val="en-US" w:eastAsia="zh-CN"/>
        </w:rPr>
        <w:t>出访迪拜、日本参观考察国际康复辅助器具博览会及产业的</w:t>
      </w:r>
      <w:r>
        <w:rPr>
          <w:rFonts w:hint="eastAsia" w:ascii="宋体" w:hAnsi="宋体"/>
          <w:b/>
          <w:spacing w:val="-6"/>
          <w:sz w:val="44"/>
          <w:szCs w:val="44"/>
        </w:rPr>
        <w:t>通知</w:t>
      </w:r>
    </w:p>
    <w:p w14:paraId="10701336">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ascii="仿宋" w:hAnsi="仿宋" w:eastAsia="仿宋"/>
          <w:b/>
          <w:sz w:val="32"/>
          <w:szCs w:val="32"/>
        </w:rPr>
      </w:pPr>
    </w:p>
    <w:p w14:paraId="461DE654">
      <w:pPr>
        <w:keepNext w:val="0"/>
        <w:keepLines w:val="0"/>
        <w:pageBreakBefore w:val="0"/>
        <w:kinsoku/>
        <w:wordWrap/>
        <w:overflowPunct/>
        <w:topLinePunct w:val="0"/>
        <w:autoSpaceDE/>
        <w:autoSpaceDN/>
        <w:bidi w:val="0"/>
        <w:adjustRightInd/>
        <w:snapToGrid/>
        <w:spacing w:line="600" w:lineRule="exact"/>
        <w:ind w:left="0" w:leftChars="0"/>
        <w:textAlignment w:val="auto"/>
        <w:rPr>
          <w:rFonts w:ascii="仿宋" w:hAnsi="仿宋" w:eastAsia="仿宋"/>
          <w:bCs/>
          <w:sz w:val="32"/>
          <w:szCs w:val="32"/>
        </w:rPr>
      </w:pPr>
      <w:r>
        <w:rPr>
          <w:rFonts w:hint="eastAsia" w:ascii="仿宋" w:hAnsi="仿宋" w:eastAsia="仿宋"/>
          <w:bCs/>
          <w:sz w:val="32"/>
          <w:szCs w:val="32"/>
        </w:rPr>
        <w:t>各会员单位</w:t>
      </w:r>
      <w:r>
        <w:rPr>
          <w:rFonts w:hint="eastAsia" w:ascii="仿宋" w:hAnsi="仿宋" w:eastAsia="仿宋"/>
          <w:bCs/>
          <w:sz w:val="32"/>
          <w:szCs w:val="32"/>
          <w:lang w:eastAsia="zh-CN"/>
        </w:rPr>
        <w:t>、</w:t>
      </w:r>
      <w:r>
        <w:rPr>
          <w:rFonts w:hint="eastAsia" w:ascii="仿宋" w:hAnsi="仿宋" w:eastAsia="仿宋"/>
          <w:bCs/>
          <w:sz w:val="32"/>
          <w:szCs w:val="32"/>
        </w:rPr>
        <w:t>有关</w:t>
      </w:r>
      <w:r>
        <w:rPr>
          <w:rFonts w:hint="eastAsia" w:ascii="仿宋" w:hAnsi="仿宋" w:eastAsia="仿宋"/>
          <w:bCs/>
          <w:sz w:val="32"/>
          <w:szCs w:val="32"/>
          <w:lang w:val="en-US" w:eastAsia="zh-CN"/>
        </w:rPr>
        <w:t>机构</w:t>
      </w:r>
      <w:r>
        <w:rPr>
          <w:rFonts w:hint="eastAsia" w:ascii="仿宋" w:hAnsi="仿宋" w:eastAsia="仿宋"/>
          <w:bCs/>
          <w:sz w:val="32"/>
          <w:szCs w:val="32"/>
        </w:rPr>
        <w:t>：</w:t>
      </w:r>
    </w:p>
    <w:p w14:paraId="06423806">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b w:val="0"/>
          <w:bCs w:val="0"/>
          <w:sz w:val="32"/>
          <w:szCs w:val="32"/>
          <w:lang w:val="en-US" w:eastAsia="zh-CN"/>
        </w:rPr>
      </w:pPr>
      <w:r>
        <w:rPr>
          <w:rFonts w:ascii="仿宋" w:hAnsi="仿宋" w:eastAsia="仿宋" w:cs="宋体"/>
          <w:color w:val="0B0A0A"/>
          <w:kern w:val="0"/>
          <w:sz w:val="32"/>
          <w:szCs w:val="32"/>
        </w:rPr>
        <w:t>为</w:t>
      </w:r>
      <w:r>
        <w:rPr>
          <w:rFonts w:hint="eastAsia" w:ascii="仿宋" w:hAnsi="仿宋" w:eastAsia="仿宋" w:cs="宋体"/>
          <w:color w:val="0B0A0A"/>
          <w:kern w:val="0"/>
          <w:sz w:val="32"/>
          <w:szCs w:val="32"/>
        </w:rPr>
        <w:t>贯</w:t>
      </w:r>
      <w:r>
        <w:rPr>
          <w:rFonts w:hint="eastAsia" w:ascii="仿宋" w:hAnsi="仿宋" w:eastAsia="仿宋" w:cs="宋体"/>
          <w:b w:val="0"/>
          <w:bCs w:val="0"/>
          <w:color w:val="0B0A0A"/>
          <w:kern w:val="0"/>
          <w:sz w:val="32"/>
          <w:szCs w:val="32"/>
        </w:rPr>
        <w:t>彻</w:t>
      </w:r>
      <w:r>
        <w:rPr>
          <w:rFonts w:ascii="仿宋" w:hAnsi="仿宋" w:eastAsia="仿宋" w:cs="宋体"/>
          <w:b w:val="0"/>
          <w:bCs w:val="0"/>
          <w:color w:val="0B0A0A"/>
          <w:kern w:val="0"/>
          <w:sz w:val="32"/>
          <w:szCs w:val="32"/>
        </w:rPr>
        <w:t>落实</w:t>
      </w:r>
      <w:r>
        <w:rPr>
          <w:rFonts w:hint="eastAsia" w:ascii="仿宋" w:hAnsi="仿宋" w:eastAsia="仿宋" w:cs="宋体"/>
          <w:b w:val="0"/>
          <w:bCs w:val="0"/>
          <w:color w:val="0B0A0A"/>
          <w:kern w:val="0"/>
          <w:sz w:val="32"/>
          <w:szCs w:val="32"/>
        </w:rPr>
        <w:t>《国务院关于加快发展康复辅助器具产业的若干意见》（国发〔2016〕60号）</w:t>
      </w:r>
      <w:r>
        <w:rPr>
          <w:rFonts w:ascii="仿宋" w:hAnsi="仿宋" w:eastAsia="仿宋" w:cs="宋体"/>
          <w:b w:val="0"/>
          <w:bCs w:val="0"/>
          <w:color w:val="0B0A0A"/>
          <w:kern w:val="0"/>
          <w:sz w:val="32"/>
          <w:szCs w:val="32"/>
        </w:rPr>
        <w:t>战略</w:t>
      </w:r>
      <w:r>
        <w:rPr>
          <w:rFonts w:hint="eastAsia" w:ascii="仿宋" w:hAnsi="仿宋" w:eastAsia="仿宋" w:cs="宋体"/>
          <w:b w:val="0"/>
          <w:bCs w:val="0"/>
          <w:color w:val="0B0A0A"/>
          <w:kern w:val="0"/>
          <w:sz w:val="32"/>
          <w:szCs w:val="32"/>
          <w:lang w:val="en-US" w:eastAsia="zh-CN"/>
        </w:rPr>
        <w:t>部署</w:t>
      </w:r>
      <w:r>
        <w:rPr>
          <w:rFonts w:ascii="仿宋" w:hAnsi="仿宋" w:eastAsia="仿宋" w:cs="宋体"/>
          <w:b w:val="0"/>
          <w:bCs w:val="0"/>
          <w:color w:val="0B0A0A"/>
          <w:kern w:val="0"/>
          <w:sz w:val="32"/>
          <w:szCs w:val="32"/>
        </w:rPr>
        <w:t>，</w:t>
      </w:r>
      <w:r>
        <w:rPr>
          <w:rFonts w:hint="eastAsia" w:ascii="仿宋" w:hAnsi="仿宋" w:eastAsia="仿宋" w:cs="宋体"/>
          <w:b w:val="0"/>
          <w:bCs w:val="0"/>
          <w:color w:val="0B0A0A"/>
          <w:kern w:val="0"/>
          <w:sz w:val="32"/>
          <w:szCs w:val="32"/>
        </w:rPr>
        <w:t>学习</w:t>
      </w:r>
      <w:r>
        <w:rPr>
          <w:rFonts w:ascii="仿宋" w:hAnsi="仿宋" w:eastAsia="仿宋" w:cs="宋体"/>
          <w:b w:val="0"/>
          <w:bCs w:val="0"/>
          <w:color w:val="0B0A0A"/>
          <w:kern w:val="0"/>
          <w:sz w:val="32"/>
          <w:szCs w:val="32"/>
        </w:rPr>
        <w:t>借鉴</w:t>
      </w:r>
      <w:r>
        <w:rPr>
          <w:rFonts w:hint="eastAsia" w:ascii="仿宋" w:hAnsi="仿宋" w:eastAsia="仿宋" w:cs="宋体"/>
          <w:b w:val="0"/>
          <w:bCs w:val="0"/>
          <w:color w:val="0B0A0A"/>
          <w:kern w:val="0"/>
          <w:sz w:val="32"/>
          <w:szCs w:val="32"/>
        </w:rPr>
        <w:t>国际</w:t>
      </w:r>
      <w:r>
        <w:rPr>
          <w:rFonts w:ascii="仿宋" w:hAnsi="仿宋" w:eastAsia="仿宋" w:cs="宋体"/>
          <w:b w:val="0"/>
          <w:bCs w:val="0"/>
          <w:color w:val="0B0A0A"/>
          <w:kern w:val="0"/>
          <w:sz w:val="32"/>
          <w:szCs w:val="32"/>
        </w:rPr>
        <w:t>先进技术</w:t>
      </w:r>
      <w:r>
        <w:rPr>
          <w:rFonts w:hint="eastAsia" w:ascii="仿宋" w:hAnsi="仿宋" w:eastAsia="仿宋" w:cs="宋体"/>
          <w:b w:val="0"/>
          <w:bCs w:val="0"/>
          <w:color w:val="0B0A0A"/>
          <w:kern w:val="0"/>
          <w:sz w:val="32"/>
          <w:szCs w:val="32"/>
        </w:rPr>
        <w:t>和管理理念</w:t>
      </w:r>
      <w:r>
        <w:rPr>
          <w:rFonts w:ascii="仿宋" w:hAnsi="仿宋" w:eastAsia="仿宋" w:cs="宋体"/>
          <w:b w:val="0"/>
          <w:bCs w:val="0"/>
          <w:color w:val="0B0A0A"/>
          <w:kern w:val="0"/>
          <w:sz w:val="32"/>
          <w:szCs w:val="32"/>
        </w:rPr>
        <w:t>，</w:t>
      </w:r>
      <w:r>
        <w:rPr>
          <w:rFonts w:hint="eastAsia" w:ascii="仿宋" w:hAnsi="仿宋" w:eastAsia="仿宋" w:cs="宋体"/>
          <w:b w:val="0"/>
          <w:bCs w:val="0"/>
          <w:color w:val="0B0A0A"/>
          <w:kern w:val="0"/>
          <w:sz w:val="32"/>
          <w:szCs w:val="32"/>
        </w:rPr>
        <w:t>协会</w:t>
      </w:r>
      <w:r>
        <w:rPr>
          <w:rFonts w:hint="eastAsia" w:ascii="仿宋" w:hAnsi="仿宋" w:eastAsia="仿宋" w:cs="宋体"/>
          <w:b w:val="0"/>
          <w:bCs w:val="0"/>
          <w:color w:val="0B0A0A"/>
          <w:kern w:val="0"/>
          <w:sz w:val="32"/>
          <w:szCs w:val="32"/>
          <w:lang w:val="en-US" w:eastAsia="zh-CN"/>
        </w:rPr>
        <w:t>计划于</w:t>
      </w:r>
      <w:r>
        <w:rPr>
          <w:rFonts w:hint="eastAsia" w:ascii="仿宋" w:hAnsi="仿宋" w:eastAsia="仿宋"/>
          <w:b w:val="0"/>
          <w:bCs w:val="0"/>
          <w:sz w:val="32"/>
          <w:szCs w:val="32"/>
        </w:rPr>
        <w:t>20</w:t>
      </w:r>
      <w:r>
        <w:rPr>
          <w:rFonts w:hint="eastAsia" w:ascii="仿宋" w:hAnsi="仿宋" w:eastAsia="仿宋"/>
          <w:b w:val="0"/>
          <w:bCs w:val="0"/>
          <w:sz w:val="32"/>
          <w:szCs w:val="32"/>
          <w:lang w:val="en-US" w:eastAsia="zh-CN"/>
        </w:rPr>
        <w:t>25</w:t>
      </w:r>
      <w:r>
        <w:rPr>
          <w:rFonts w:hint="eastAsia" w:ascii="仿宋" w:hAnsi="仿宋" w:eastAsia="仿宋"/>
          <w:b w:val="0"/>
          <w:bCs w:val="0"/>
          <w:sz w:val="32"/>
          <w:szCs w:val="32"/>
        </w:rPr>
        <w:t>年</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月</w:t>
      </w:r>
      <w:r>
        <w:rPr>
          <w:rFonts w:hint="eastAsia" w:ascii="仿宋" w:hAnsi="仿宋" w:eastAsia="仿宋"/>
          <w:b w:val="0"/>
          <w:bCs w:val="0"/>
          <w:sz w:val="32"/>
          <w:szCs w:val="32"/>
          <w:lang w:val="en-US" w:eastAsia="zh-CN"/>
        </w:rPr>
        <w:t>5</w:t>
      </w:r>
      <w:r>
        <w:rPr>
          <w:rFonts w:hint="eastAsia" w:ascii="仿宋" w:hAnsi="仿宋" w:eastAsia="仿宋"/>
          <w:b w:val="0"/>
          <w:bCs w:val="0"/>
          <w:sz w:val="32"/>
          <w:szCs w:val="32"/>
        </w:rPr>
        <w:t>日—</w:t>
      </w:r>
      <w:r>
        <w:rPr>
          <w:rFonts w:hint="eastAsia" w:ascii="仿宋" w:hAnsi="仿宋" w:eastAsia="仿宋"/>
          <w:b w:val="0"/>
          <w:bCs w:val="0"/>
          <w:sz w:val="32"/>
          <w:szCs w:val="32"/>
          <w:lang w:val="en-US" w:eastAsia="zh-CN"/>
        </w:rPr>
        <w:t>12</w:t>
      </w:r>
      <w:r>
        <w:rPr>
          <w:rFonts w:hint="eastAsia" w:ascii="仿宋" w:hAnsi="仿宋" w:eastAsia="仿宋"/>
          <w:b w:val="0"/>
          <w:bCs w:val="0"/>
          <w:sz w:val="32"/>
          <w:szCs w:val="32"/>
        </w:rPr>
        <w:t>日</w:t>
      </w:r>
      <w:r>
        <w:rPr>
          <w:rFonts w:hint="eastAsia" w:ascii="仿宋" w:hAnsi="仿宋" w:eastAsia="仿宋"/>
          <w:b w:val="0"/>
          <w:bCs w:val="0"/>
          <w:sz w:val="32"/>
          <w:szCs w:val="32"/>
          <w:lang w:val="en-US" w:eastAsia="zh-CN"/>
        </w:rPr>
        <w:t xml:space="preserve"> </w:t>
      </w:r>
    </w:p>
    <w:p w14:paraId="4AE91959">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rPr>
          <w:rFonts w:ascii="仿宋" w:hAnsi="仿宋" w:eastAsia="仿宋" w:cs="宋体"/>
          <w:b/>
          <w:bCs/>
          <w:color w:val="0B0A0A"/>
          <w:kern w:val="0"/>
          <w:sz w:val="32"/>
          <w:szCs w:val="32"/>
        </w:rPr>
      </w:pPr>
      <w:r>
        <w:rPr>
          <w:rFonts w:ascii="仿宋" w:hAnsi="仿宋" w:eastAsia="仿宋" w:cs="宋体"/>
          <w:b w:val="0"/>
          <w:bCs w:val="0"/>
          <w:color w:val="0B0A0A"/>
          <w:kern w:val="0"/>
          <w:sz w:val="32"/>
          <w:szCs w:val="32"/>
        </w:rPr>
        <w:t>组</w:t>
      </w:r>
      <w:r>
        <w:rPr>
          <w:rFonts w:hint="eastAsia" w:ascii="仿宋" w:hAnsi="仿宋" w:eastAsia="仿宋" w:cs="宋体"/>
          <w:b w:val="0"/>
          <w:bCs w:val="0"/>
          <w:color w:val="0B0A0A"/>
          <w:kern w:val="0"/>
          <w:sz w:val="32"/>
          <w:szCs w:val="32"/>
          <w:lang w:val="en-US" w:eastAsia="zh-CN"/>
        </w:rPr>
        <w:t>团</w:t>
      </w:r>
      <w:r>
        <w:rPr>
          <w:rFonts w:ascii="仿宋" w:hAnsi="仿宋" w:eastAsia="仿宋" w:cs="宋体"/>
          <w:b w:val="0"/>
          <w:bCs w:val="0"/>
          <w:color w:val="0B0A0A"/>
          <w:kern w:val="0"/>
          <w:sz w:val="32"/>
          <w:szCs w:val="32"/>
        </w:rPr>
        <w:t>赴</w:t>
      </w:r>
      <w:r>
        <w:rPr>
          <w:rFonts w:hint="eastAsia" w:ascii="仿宋" w:hAnsi="仿宋" w:eastAsia="仿宋" w:cs="宋体"/>
          <w:b w:val="0"/>
          <w:bCs w:val="0"/>
          <w:color w:val="0B0A0A"/>
          <w:kern w:val="0"/>
          <w:sz w:val="32"/>
          <w:szCs w:val="32"/>
          <w:lang w:val="en-US" w:eastAsia="zh-CN"/>
        </w:rPr>
        <w:t>迪拜参加中东迪拜残疾人康复矫形器械展览会、赴日本参加H.C.R第52届国际福祉机器及康复设备展览会，拜会当地相关协会商会等行业组织，</w:t>
      </w:r>
      <w:r>
        <w:rPr>
          <w:rFonts w:ascii="仿宋" w:hAnsi="仿宋" w:eastAsia="仿宋" w:cs="宋体"/>
          <w:b w:val="0"/>
          <w:bCs w:val="0"/>
          <w:color w:val="0B0A0A"/>
          <w:kern w:val="0"/>
          <w:sz w:val="32"/>
          <w:szCs w:val="32"/>
        </w:rPr>
        <w:t>考察</w:t>
      </w:r>
      <w:r>
        <w:rPr>
          <w:rFonts w:hint="eastAsia" w:ascii="仿宋" w:hAnsi="仿宋" w:eastAsia="仿宋" w:cs="宋体"/>
          <w:b w:val="0"/>
          <w:bCs w:val="0"/>
          <w:color w:val="0B0A0A"/>
          <w:kern w:val="0"/>
          <w:sz w:val="32"/>
          <w:szCs w:val="32"/>
          <w:lang w:val="en-US" w:eastAsia="zh-CN"/>
        </w:rPr>
        <w:t>有关康复机构、优秀企业，开展国际双边经贸交流合作活动，促进产业高质量发展。</w:t>
      </w:r>
      <w:r>
        <w:rPr>
          <w:rFonts w:ascii="仿宋" w:hAnsi="仿宋" w:eastAsia="仿宋" w:cs="宋体"/>
          <w:b w:val="0"/>
          <w:bCs w:val="0"/>
          <w:color w:val="0B0A0A"/>
          <w:kern w:val="0"/>
          <w:sz w:val="32"/>
          <w:szCs w:val="32"/>
        </w:rPr>
        <w:t>通知如下：</w:t>
      </w:r>
    </w:p>
    <w:p w14:paraId="5A24100C">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ascii="黑体" w:hAnsi="黑体" w:eastAsia="黑体" w:cs="宋体"/>
          <w:color w:val="0B0A0A"/>
          <w:kern w:val="0"/>
          <w:sz w:val="32"/>
          <w:szCs w:val="32"/>
        </w:rPr>
      </w:pPr>
      <w:r>
        <w:rPr>
          <w:rFonts w:hint="eastAsia" w:ascii="黑体" w:hAnsi="黑体" w:eastAsia="黑体" w:cs="宋体"/>
          <w:color w:val="0B0A0A"/>
          <w:kern w:val="0"/>
          <w:sz w:val="32"/>
          <w:szCs w:val="32"/>
        </w:rPr>
        <w:t>一、</w:t>
      </w:r>
      <w:r>
        <w:rPr>
          <w:rFonts w:ascii="黑体" w:hAnsi="黑体" w:eastAsia="黑体" w:cs="宋体"/>
          <w:color w:val="0B0A0A"/>
          <w:kern w:val="0"/>
          <w:sz w:val="32"/>
          <w:szCs w:val="32"/>
        </w:rPr>
        <w:t>考察费用</w:t>
      </w:r>
    </w:p>
    <w:p w14:paraId="3D800BED">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ascii="仿宋" w:hAnsi="仿宋" w:eastAsia="仿宋" w:cs="宋体"/>
          <w:color w:val="0B0A0A"/>
          <w:kern w:val="0"/>
          <w:sz w:val="32"/>
          <w:szCs w:val="32"/>
        </w:rPr>
      </w:pPr>
      <w:r>
        <w:rPr>
          <w:rFonts w:ascii="仿宋" w:hAnsi="仿宋" w:eastAsia="仿宋" w:cs="宋体"/>
          <w:color w:val="0B0A0A"/>
          <w:kern w:val="0"/>
          <w:sz w:val="32"/>
          <w:szCs w:val="32"/>
        </w:rPr>
        <w:t>出访费用由各派出单位自行承担。考察费包括国际往返机票、境外城市交通费、食宿费、翻译费、公杂费等</w:t>
      </w:r>
      <w:r>
        <w:rPr>
          <w:rFonts w:hint="eastAsia" w:ascii="仿宋" w:hAnsi="仿宋" w:eastAsia="仿宋" w:cs="宋体"/>
          <w:color w:val="0B0A0A"/>
          <w:kern w:val="0"/>
          <w:sz w:val="32"/>
          <w:szCs w:val="32"/>
          <w:lang w:eastAsia="zh-CN"/>
        </w:rPr>
        <w:t>，</w:t>
      </w:r>
      <w:r>
        <w:rPr>
          <w:rFonts w:hint="eastAsia" w:ascii="仿宋" w:hAnsi="仿宋" w:eastAsia="仿宋" w:cs="宋体"/>
          <w:color w:val="0B0A0A"/>
          <w:kern w:val="0"/>
          <w:sz w:val="32"/>
          <w:szCs w:val="32"/>
          <w:lang w:val="en-US" w:eastAsia="zh-CN"/>
        </w:rPr>
        <w:t>金额根据具体行程另行通知</w:t>
      </w:r>
      <w:r>
        <w:rPr>
          <w:rFonts w:ascii="仿宋" w:hAnsi="仿宋" w:eastAsia="仿宋" w:cs="宋体"/>
          <w:color w:val="0B0A0A"/>
          <w:kern w:val="0"/>
          <w:sz w:val="32"/>
          <w:szCs w:val="32"/>
        </w:rPr>
        <w:t>。</w:t>
      </w:r>
    </w:p>
    <w:p w14:paraId="5A8A29BC">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ascii="仿宋" w:hAnsi="仿宋" w:eastAsia="仿宋" w:cs="宋体"/>
          <w:color w:val="0B0A0A"/>
          <w:kern w:val="0"/>
          <w:sz w:val="32"/>
          <w:szCs w:val="32"/>
        </w:rPr>
      </w:pPr>
      <w:r>
        <w:rPr>
          <w:rFonts w:hint="eastAsia" w:ascii="黑体" w:hAnsi="黑体" w:eastAsia="黑体" w:cs="宋体"/>
          <w:color w:val="0B0A0A"/>
          <w:kern w:val="0"/>
          <w:sz w:val="32"/>
          <w:szCs w:val="32"/>
          <w:lang w:val="en-US" w:eastAsia="zh-CN"/>
        </w:rPr>
        <w:t>二</w:t>
      </w:r>
      <w:r>
        <w:rPr>
          <w:rFonts w:ascii="黑体" w:hAnsi="黑体" w:eastAsia="黑体" w:cs="宋体"/>
          <w:color w:val="0B0A0A"/>
          <w:kern w:val="0"/>
          <w:sz w:val="32"/>
          <w:szCs w:val="32"/>
        </w:rPr>
        <w:t>、</w:t>
      </w:r>
      <w:r>
        <w:rPr>
          <w:rFonts w:hint="eastAsia" w:ascii="黑体" w:hAnsi="黑体" w:eastAsia="黑体" w:cs="宋体"/>
          <w:color w:val="0B0A0A"/>
          <w:kern w:val="0"/>
          <w:sz w:val="32"/>
          <w:szCs w:val="32"/>
        </w:rPr>
        <w:t>其他事项</w:t>
      </w:r>
    </w:p>
    <w:p w14:paraId="0287393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团组行程共8天，报名截止时间为7月4日</w:t>
      </w:r>
      <w:r>
        <w:rPr>
          <w:rFonts w:hint="eastAsia" w:ascii="仿宋" w:hAnsi="仿宋" w:eastAsia="仿宋"/>
          <w:sz w:val="32"/>
          <w:szCs w:val="32"/>
        </w:rPr>
        <w:t>，其他事宜</w:t>
      </w:r>
      <w:r>
        <w:rPr>
          <w:rFonts w:hint="eastAsia" w:ascii="仿宋" w:hAnsi="仿宋" w:eastAsia="仿宋"/>
          <w:sz w:val="32"/>
          <w:szCs w:val="32"/>
          <w:lang w:val="en-US" w:eastAsia="zh-CN"/>
        </w:rPr>
        <w:drawing>
          <wp:anchor distT="0" distB="0" distL="114300" distR="114300" simplePos="0" relativeHeight="251659264" behindDoc="1" locked="0" layoutInCell="1" allowOverlap="1">
            <wp:simplePos x="0" y="0"/>
            <wp:positionH relativeFrom="column">
              <wp:posOffset>1792605</wp:posOffset>
            </wp:positionH>
            <wp:positionV relativeFrom="paragraph">
              <wp:posOffset>-3208655</wp:posOffset>
            </wp:positionV>
            <wp:extent cx="6578600" cy="9298305"/>
            <wp:effectExtent l="0" t="0" r="0" b="0"/>
            <wp:wrapNone/>
            <wp:docPr id="2"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
                    <pic:cNvPicPr>
                      <a:picLocks noChangeAspect="1"/>
                    </pic:cNvPicPr>
                  </pic:nvPicPr>
                  <pic:blipFill>
                    <a:blip r:embed="rId4"/>
                    <a:stretch>
                      <a:fillRect/>
                    </a:stretch>
                  </pic:blipFill>
                  <pic:spPr>
                    <a:xfrm rot="360000">
                      <a:off x="0" y="0"/>
                      <a:ext cx="6578600" cy="9298305"/>
                    </a:xfrm>
                    <a:prstGeom prst="rect">
                      <a:avLst/>
                    </a:prstGeom>
                  </pic:spPr>
                </pic:pic>
              </a:graphicData>
            </a:graphic>
          </wp:anchor>
        </w:drawing>
      </w:r>
      <w:r>
        <w:rPr>
          <w:rFonts w:hint="eastAsia" w:ascii="仿宋" w:hAnsi="仿宋" w:eastAsia="仿宋"/>
          <w:sz w:val="32"/>
          <w:szCs w:val="32"/>
        </w:rPr>
        <w:t>另行通知。</w:t>
      </w:r>
    </w:p>
    <w:p w14:paraId="4279A7A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联系人：李  楠</w:t>
      </w:r>
    </w:p>
    <w:p w14:paraId="4887ACDA">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电  话：010-64465010转8007</w:t>
      </w:r>
      <w:r>
        <w:rPr>
          <w:rFonts w:hint="eastAsia" w:ascii="仿宋" w:hAnsi="仿宋" w:eastAsia="仿宋"/>
          <w:sz w:val="32"/>
          <w:szCs w:val="32"/>
          <w:lang w:val="en-US" w:eastAsia="zh-CN"/>
        </w:rPr>
        <w:t xml:space="preserve"> </w:t>
      </w:r>
      <w:r>
        <w:rPr>
          <w:rFonts w:hint="eastAsia" w:ascii="仿宋" w:hAnsi="仿宋" w:eastAsia="仿宋"/>
          <w:sz w:val="32"/>
          <w:szCs w:val="32"/>
        </w:rPr>
        <w:t>18730056693</w:t>
      </w:r>
      <w:r>
        <w:rPr>
          <w:rFonts w:hint="eastAsia" w:ascii="仿宋" w:hAnsi="仿宋" w:eastAsia="仿宋"/>
          <w:sz w:val="32"/>
          <w:szCs w:val="32"/>
          <w:lang w:eastAsia="zh-CN"/>
        </w:rPr>
        <w:t>（</w:t>
      </w:r>
      <w:r>
        <w:rPr>
          <w:rFonts w:hint="eastAsia" w:ascii="仿宋" w:hAnsi="仿宋" w:eastAsia="仿宋"/>
          <w:sz w:val="32"/>
          <w:szCs w:val="32"/>
          <w:lang w:val="en-US" w:eastAsia="zh-CN"/>
        </w:rPr>
        <w:t>同微信</w:t>
      </w:r>
      <w:r>
        <w:rPr>
          <w:rFonts w:hint="eastAsia" w:ascii="仿宋" w:hAnsi="仿宋" w:eastAsia="仿宋"/>
          <w:sz w:val="32"/>
          <w:szCs w:val="32"/>
          <w:lang w:eastAsia="zh-CN"/>
        </w:rPr>
        <w:t>）</w:t>
      </w:r>
    </w:p>
    <w:p w14:paraId="4D234AB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邮  箱：</w:t>
      </w:r>
      <w:r>
        <w:rPr>
          <w:color w:val="auto"/>
          <w:u w:val="none"/>
        </w:rPr>
        <w:fldChar w:fldCharType="begin"/>
      </w:r>
      <w:r>
        <w:rPr>
          <w:color w:val="auto"/>
          <w:u w:val="none"/>
        </w:rPr>
        <w:instrText xml:space="preserve"> HYPERLINK "mailto:lin@crda.com.cn" </w:instrText>
      </w:r>
      <w:r>
        <w:rPr>
          <w:color w:val="auto"/>
          <w:u w:val="none"/>
        </w:rPr>
        <w:fldChar w:fldCharType="separate"/>
      </w:r>
      <w:r>
        <w:rPr>
          <w:rStyle w:val="11"/>
          <w:rFonts w:hint="eastAsia" w:ascii="仿宋" w:hAnsi="仿宋" w:eastAsia="仿宋"/>
          <w:color w:val="auto"/>
          <w:sz w:val="32"/>
          <w:szCs w:val="32"/>
          <w:u w:val="none"/>
        </w:rPr>
        <w:t>lin@crda.com.cn</w:t>
      </w:r>
      <w:r>
        <w:rPr>
          <w:rStyle w:val="11"/>
          <w:rFonts w:hint="eastAsia" w:ascii="仿宋" w:hAnsi="仿宋" w:eastAsia="仿宋"/>
          <w:color w:val="auto"/>
          <w:sz w:val="32"/>
          <w:szCs w:val="32"/>
          <w:u w:val="none"/>
        </w:rPr>
        <w:fldChar w:fldCharType="end"/>
      </w:r>
    </w:p>
    <w:p w14:paraId="256FBA5F">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p>
    <w:p w14:paraId="2137FFA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附件：出访报名回执表</w:t>
      </w:r>
    </w:p>
    <w:p w14:paraId="676E15F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p>
    <w:p w14:paraId="4B48FB5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sz w:val="32"/>
          <w:szCs w:val="32"/>
        </w:rPr>
      </w:pPr>
    </w:p>
    <w:p w14:paraId="19025F0D">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中国康复辅助器具协会</w:t>
      </w:r>
    </w:p>
    <w:p w14:paraId="08F367F6">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仿宋" w:hAnsi="仿宋" w:eastAsia="仿宋"/>
          <w:sz w:val="32"/>
          <w:szCs w:val="32"/>
          <w:lang w:val="en-US" w:eastAsia="zh-CN"/>
        </w:rPr>
        <w:sectPr>
          <w:pgSz w:w="11906" w:h="16838"/>
          <w:pgMar w:top="1440" w:right="1800" w:bottom="1134" w:left="1800" w:header="851" w:footer="992" w:gutter="0"/>
          <w:cols w:space="425" w:num="1"/>
          <w:docGrid w:type="lines" w:linePitch="312" w:charSpace="0"/>
        </w:sectPr>
      </w:pPr>
      <w:r>
        <w:rPr>
          <w:rFonts w:hint="eastAsia" w:ascii="仿宋" w:hAnsi="仿宋" w:eastAsia="仿宋"/>
          <w:sz w:val="32"/>
          <w:szCs w:val="32"/>
          <w:lang w:val="en-US" w:eastAsia="zh-CN"/>
        </w:rPr>
        <w:t xml:space="preserve">               2025年6月12日</w:t>
      </w:r>
    </w:p>
    <w:p w14:paraId="3004A5A2">
      <w:pPr>
        <w:rPr>
          <w:rFonts w:hint="eastAsia" w:ascii="黑体" w:hAnsi="黑体" w:eastAsia="黑体" w:cs="黑体"/>
          <w:sz w:val="32"/>
          <w:szCs w:val="32"/>
        </w:rPr>
      </w:pPr>
      <w:r>
        <w:rPr>
          <w:rFonts w:hint="eastAsia" w:ascii="黑体" w:hAnsi="黑体" w:eastAsia="黑体" w:cs="黑体"/>
          <w:sz w:val="32"/>
          <w:szCs w:val="32"/>
        </w:rPr>
        <w:t>附件</w:t>
      </w:r>
    </w:p>
    <w:p w14:paraId="7A8B913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出访报名回执表</w:t>
      </w:r>
    </w:p>
    <w:tbl>
      <w:tblPr>
        <w:tblStyle w:val="8"/>
        <w:tblW w:w="13685" w:type="dxa"/>
        <w:tblInd w:w="0" w:type="dxa"/>
        <w:shd w:val="clear" w:color="auto" w:fill="auto"/>
        <w:tblLayout w:type="fixed"/>
        <w:tblCellMar>
          <w:top w:w="0" w:type="dxa"/>
          <w:left w:w="0" w:type="dxa"/>
          <w:bottom w:w="0" w:type="dxa"/>
          <w:right w:w="0" w:type="dxa"/>
        </w:tblCellMar>
      </w:tblPr>
      <w:tblGrid>
        <w:gridCol w:w="696"/>
        <w:gridCol w:w="696"/>
        <w:gridCol w:w="2836"/>
        <w:gridCol w:w="616"/>
        <w:gridCol w:w="1784"/>
        <w:gridCol w:w="1433"/>
        <w:gridCol w:w="1917"/>
        <w:gridCol w:w="1433"/>
        <w:gridCol w:w="1433"/>
        <w:gridCol w:w="841"/>
      </w:tblGrid>
      <w:tr w14:paraId="69FB5628">
        <w:tblPrEx>
          <w:tblCellMar>
            <w:top w:w="0" w:type="dxa"/>
            <w:left w:w="0" w:type="dxa"/>
            <w:bottom w:w="0" w:type="dxa"/>
            <w:right w:w="0" w:type="dxa"/>
          </w:tblCellMar>
        </w:tblPrEx>
        <w:trPr>
          <w:trHeight w:val="799" w:hRule="atLeast"/>
        </w:trPr>
        <w:tc>
          <w:tcPr>
            <w:tcW w:w="13685"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14:paraId="6C521430">
            <w:pPr>
              <w:jc w:val="lef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单位名称（印章）：</w:t>
            </w:r>
          </w:p>
        </w:tc>
      </w:tr>
      <w:tr w14:paraId="389DAFC0">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0B44">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772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27BE">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身份证号</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5F50">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性别</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E09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单位/职务</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1393">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邮编</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05C0">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15"/>
                <w:sz w:val="24"/>
                <w:szCs w:val="24"/>
                <w:lang w:val="en-US" w:eastAsia="zh-CN" w:bidi="ar"/>
              </w:rPr>
              <w:t>通讯地址</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F669">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手机</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EFE2">
            <w:pPr>
              <w:keepNext w:val="0"/>
              <w:keepLines w:val="0"/>
              <w:widowControl/>
              <w:suppressLineNumbers w:val="0"/>
              <w:jc w:val="center"/>
              <w:textAlignment w:val="center"/>
              <w:rPr>
                <w:rFonts w:hint="eastAsia"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护照号/</w:t>
            </w:r>
          </w:p>
          <w:p w14:paraId="4D20D198">
            <w:pPr>
              <w:keepNext w:val="0"/>
              <w:keepLines w:val="0"/>
              <w:widowControl/>
              <w:suppressLineNumbers w:val="0"/>
              <w:jc w:val="center"/>
              <w:textAlignment w:val="center"/>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有效期（6个月以上）</w:t>
            </w:r>
          </w:p>
        </w:tc>
      </w:tr>
      <w:tr w14:paraId="7CB22FDF">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B680">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3388">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B2AD">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50C1">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DE4A">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DB97">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E7F3">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4110">
            <w:pPr>
              <w:jc w:val="center"/>
              <w:rPr>
                <w:rFonts w:hint="eastAsia" w:ascii="黑体" w:hAnsi="宋体" w:eastAsia="黑体" w:cs="黑体"/>
                <w:i w:val="0"/>
                <w:color w:val="000000"/>
                <w:sz w:val="24"/>
                <w:szCs w:val="24"/>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96BE">
            <w:pPr>
              <w:jc w:val="center"/>
              <w:rPr>
                <w:rFonts w:hint="eastAsia" w:ascii="黑体" w:hAnsi="宋体" w:eastAsia="黑体" w:cs="黑体"/>
                <w:i w:val="0"/>
                <w:color w:val="000000"/>
                <w:sz w:val="24"/>
                <w:szCs w:val="24"/>
                <w:u w:val="none"/>
              </w:rPr>
            </w:pPr>
          </w:p>
        </w:tc>
      </w:tr>
      <w:tr w14:paraId="1C76E2CA">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F5F7">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97C6">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E232">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48A5">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E20E">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0F1D">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BA99">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818E">
            <w:pPr>
              <w:jc w:val="center"/>
              <w:rPr>
                <w:rFonts w:hint="eastAsia" w:ascii="黑体" w:hAnsi="宋体" w:eastAsia="黑体" w:cs="黑体"/>
                <w:i w:val="0"/>
                <w:color w:val="000000"/>
                <w:sz w:val="24"/>
                <w:szCs w:val="24"/>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8CD8">
            <w:pPr>
              <w:jc w:val="center"/>
              <w:rPr>
                <w:rFonts w:hint="eastAsia" w:ascii="黑体" w:hAnsi="宋体" w:eastAsia="黑体" w:cs="黑体"/>
                <w:i w:val="0"/>
                <w:color w:val="000000"/>
                <w:sz w:val="24"/>
                <w:szCs w:val="24"/>
                <w:u w:val="none"/>
              </w:rPr>
            </w:pPr>
          </w:p>
        </w:tc>
      </w:tr>
      <w:tr w14:paraId="4686F880">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9447">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28BF">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826A">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7B06">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1506">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D2EC">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143E">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220ED">
            <w:pPr>
              <w:jc w:val="center"/>
              <w:rPr>
                <w:rFonts w:hint="eastAsia" w:ascii="黑体" w:hAnsi="宋体" w:eastAsia="黑体" w:cs="黑体"/>
                <w:i w:val="0"/>
                <w:color w:val="000000"/>
                <w:sz w:val="24"/>
                <w:szCs w:val="24"/>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5945">
            <w:pPr>
              <w:jc w:val="center"/>
              <w:rPr>
                <w:rFonts w:hint="eastAsia" w:ascii="黑体" w:hAnsi="宋体" w:eastAsia="黑体" w:cs="黑体"/>
                <w:i w:val="0"/>
                <w:color w:val="000000"/>
                <w:sz w:val="24"/>
                <w:szCs w:val="24"/>
                <w:u w:val="none"/>
              </w:rPr>
            </w:pPr>
          </w:p>
        </w:tc>
      </w:tr>
      <w:tr w14:paraId="5A4D6554">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689F">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605A">
            <w:pPr>
              <w:jc w:val="center"/>
              <w:rPr>
                <w:rFonts w:hint="eastAsia" w:ascii="宋体" w:hAnsi="宋体" w:eastAsia="宋体" w:cs="宋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5CA1">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ED42">
            <w:pPr>
              <w:jc w:val="center"/>
              <w:rPr>
                <w:rFonts w:hint="eastAsia" w:ascii="宋体" w:hAnsi="宋体" w:eastAsia="宋体" w:cs="宋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0577">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BF9B">
            <w:pPr>
              <w:jc w:val="center"/>
              <w:rPr>
                <w:rFonts w:hint="eastAsia" w:ascii="宋体" w:hAnsi="宋体" w:eastAsia="宋体" w:cs="宋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F1BD">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520A">
            <w:pPr>
              <w:jc w:val="center"/>
              <w:rPr>
                <w:rFonts w:hint="eastAsia" w:ascii="宋体" w:hAnsi="宋体" w:eastAsia="宋体" w:cs="宋体"/>
                <w:i w:val="0"/>
                <w:color w:val="000000"/>
                <w:sz w:val="24"/>
                <w:szCs w:val="24"/>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C174">
            <w:pPr>
              <w:jc w:val="center"/>
              <w:rPr>
                <w:rFonts w:hint="eastAsia" w:ascii="宋体" w:hAnsi="宋体" w:eastAsia="宋体" w:cs="宋体"/>
                <w:i w:val="0"/>
                <w:color w:val="000000"/>
                <w:sz w:val="24"/>
                <w:szCs w:val="24"/>
                <w:u w:val="none"/>
              </w:rPr>
            </w:pPr>
          </w:p>
        </w:tc>
      </w:tr>
      <w:tr w14:paraId="1DF5FECF">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A68C">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4B5A">
            <w:pPr>
              <w:jc w:val="center"/>
              <w:rPr>
                <w:rFonts w:hint="eastAsia" w:ascii="宋体" w:hAnsi="宋体" w:eastAsia="宋体" w:cs="宋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3255">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4D21">
            <w:pPr>
              <w:jc w:val="center"/>
              <w:rPr>
                <w:rFonts w:hint="eastAsia" w:ascii="宋体" w:hAnsi="宋体" w:eastAsia="宋体" w:cs="宋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C5BB2">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EA6E">
            <w:pPr>
              <w:jc w:val="center"/>
              <w:rPr>
                <w:rFonts w:hint="eastAsia" w:ascii="宋体" w:hAnsi="宋体" w:eastAsia="宋体" w:cs="宋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9DB0">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AB8C">
            <w:pPr>
              <w:jc w:val="center"/>
              <w:rPr>
                <w:rFonts w:hint="eastAsia" w:ascii="宋体" w:hAnsi="宋体" w:eastAsia="宋体" w:cs="宋体"/>
                <w:i w:val="0"/>
                <w:color w:val="000000"/>
                <w:sz w:val="24"/>
                <w:szCs w:val="24"/>
                <w:u w:val="none"/>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B482">
            <w:pPr>
              <w:jc w:val="center"/>
              <w:rPr>
                <w:rFonts w:hint="eastAsia" w:ascii="宋体" w:hAnsi="宋体" w:eastAsia="宋体" w:cs="宋体"/>
                <w:i w:val="0"/>
                <w:color w:val="000000"/>
                <w:sz w:val="24"/>
                <w:szCs w:val="24"/>
                <w:u w:val="none"/>
              </w:rPr>
            </w:pPr>
          </w:p>
        </w:tc>
      </w:tr>
      <w:tr w14:paraId="19D6A3C8">
        <w:tblPrEx>
          <w:tblCellMar>
            <w:top w:w="0" w:type="dxa"/>
            <w:left w:w="0" w:type="dxa"/>
            <w:bottom w:w="0" w:type="dxa"/>
            <w:right w:w="0" w:type="dxa"/>
          </w:tblCellMar>
        </w:tblPrEx>
        <w:trPr>
          <w:trHeight w:val="799" w:hRule="atLeast"/>
        </w:trPr>
        <w:tc>
          <w:tcPr>
            <w:tcW w:w="696" w:type="dxa"/>
            <w:tcBorders>
              <w:top w:val="nil"/>
              <w:left w:val="nil"/>
              <w:bottom w:val="nil"/>
              <w:right w:val="nil"/>
            </w:tcBorders>
            <w:shd w:val="clear" w:color="auto" w:fill="auto"/>
            <w:noWrap/>
            <w:tcMar>
              <w:top w:w="15" w:type="dxa"/>
              <w:left w:w="15" w:type="dxa"/>
              <w:right w:w="15" w:type="dxa"/>
            </w:tcMar>
            <w:vAlign w:val="center"/>
          </w:tcPr>
          <w:p w14:paraId="48B2A728">
            <w:pPr>
              <w:jc w:val="center"/>
              <w:rPr>
                <w:rFonts w:hint="eastAsia" w:ascii="宋体" w:hAnsi="宋体" w:eastAsia="宋体" w:cs="宋体"/>
                <w:i w:val="0"/>
                <w:color w:val="000000"/>
                <w:sz w:val="24"/>
                <w:szCs w:val="24"/>
                <w:u w:val="none"/>
              </w:rPr>
            </w:pPr>
          </w:p>
        </w:tc>
        <w:tc>
          <w:tcPr>
            <w:tcW w:w="696" w:type="dxa"/>
            <w:tcBorders>
              <w:top w:val="nil"/>
              <w:left w:val="nil"/>
              <w:bottom w:val="nil"/>
              <w:right w:val="nil"/>
            </w:tcBorders>
            <w:shd w:val="clear" w:color="auto" w:fill="auto"/>
            <w:noWrap/>
            <w:tcMar>
              <w:top w:w="15" w:type="dxa"/>
              <w:left w:w="15" w:type="dxa"/>
              <w:right w:w="15" w:type="dxa"/>
            </w:tcMar>
            <w:vAlign w:val="center"/>
          </w:tcPr>
          <w:p w14:paraId="0D6B70E0">
            <w:pPr>
              <w:jc w:val="center"/>
              <w:rPr>
                <w:rFonts w:hint="eastAsia" w:ascii="宋体" w:hAnsi="宋体" w:eastAsia="宋体" w:cs="宋体"/>
                <w:i w:val="0"/>
                <w:color w:val="000000"/>
                <w:sz w:val="24"/>
                <w:szCs w:val="24"/>
                <w:u w:val="none"/>
              </w:rPr>
            </w:pPr>
          </w:p>
        </w:tc>
        <w:tc>
          <w:tcPr>
            <w:tcW w:w="2836" w:type="dxa"/>
            <w:tcBorders>
              <w:top w:val="nil"/>
              <w:left w:val="nil"/>
              <w:bottom w:val="nil"/>
              <w:right w:val="nil"/>
            </w:tcBorders>
            <w:shd w:val="clear" w:color="auto" w:fill="auto"/>
            <w:noWrap/>
            <w:tcMar>
              <w:top w:w="15" w:type="dxa"/>
              <w:left w:w="15" w:type="dxa"/>
              <w:right w:w="15" w:type="dxa"/>
            </w:tcMar>
            <w:vAlign w:val="center"/>
          </w:tcPr>
          <w:p w14:paraId="3D830B49">
            <w:pPr>
              <w:jc w:val="center"/>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auto"/>
            <w:noWrap/>
            <w:tcMar>
              <w:top w:w="15" w:type="dxa"/>
              <w:left w:w="15" w:type="dxa"/>
              <w:right w:w="15" w:type="dxa"/>
            </w:tcMar>
            <w:vAlign w:val="center"/>
          </w:tcPr>
          <w:p w14:paraId="7956A199">
            <w:pPr>
              <w:jc w:val="center"/>
              <w:rPr>
                <w:rFonts w:hint="eastAsia" w:ascii="宋体" w:hAnsi="宋体" w:eastAsia="宋体" w:cs="宋体"/>
                <w:i w:val="0"/>
                <w:color w:val="000000"/>
                <w:sz w:val="24"/>
                <w:szCs w:val="24"/>
                <w:u w:val="none"/>
              </w:rPr>
            </w:pPr>
          </w:p>
        </w:tc>
        <w:tc>
          <w:tcPr>
            <w:tcW w:w="1784" w:type="dxa"/>
            <w:tcBorders>
              <w:top w:val="nil"/>
              <w:left w:val="nil"/>
              <w:bottom w:val="nil"/>
              <w:right w:val="nil"/>
            </w:tcBorders>
            <w:shd w:val="clear" w:color="auto" w:fill="auto"/>
            <w:noWrap/>
            <w:tcMar>
              <w:top w:w="15" w:type="dxa"/>
              <w:left w:w="15" w:type="dxa"/>
              <w:right w:w="15" w:type="dxa"/>
            </w:tcMar>
            <w:vAlign w:val="center"/>
          </w:tcPr>
          <w:p w14:paraId="0F22C6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433" w:type="dxa"/>
            <w:tcBorders>
              <w:top w:val="nil"/>
              <w:left w:val="nil"/>
              <w:bottom w:val="nil"/>
              <w:right w:val="nil"/>
            </w:tcBorders>
            <w:shd w:val="clear" w:color="auto" w:fill="auto"/>
            <w:noWrap/>
            <w:tcMar>
              <w:top w:w="15" w:type="dxa"/>
              <w:left w:w="15" w:type="dxa"/>
              <w:right w:w="15" w:type="dxa"/>
            </w:tcMar>
            <w:vAlign w:val="center"/>
          </w:tcPr>
          <w:p w14:paraId="120A62A4">
            <w:pPr>
              <w:jc w:val="left"/>
              <w:rPr>
                <w:rFonts w:hint="eastAsia" w:ascii="宋体" w:hAnsi="宋体" w:eastAsia="宋体" w:cs="宋体"/>
                <w:i w:val="0"/>
                <w:color w:val="000000"/>
                <w:sz w:val="24"/>
                <w:szCs w:val="24"/>
                <w:u w:val="none"/>
              </w:rPr>
            </w:pPr>
          </w:p>
        </w:tc>
        <w:tc>
          <w:tcPr>
            <w:tcW w:w="1917" w:type="dxa"/>
            <w:tcBorders>
              <w:top w:val="nil"/>
              <w:left w:val="nil"/>
              <w:bottom w:val="nil"/>
              <w:right w:val="nil"/>
            </w:tcBorders>
            <w:shd w:val="clear" w:color="auto" w:fill="auto"/>
            <w:noWrap/>
            <w:tcMar>
              <w:top w:w="15" w:type="dxa"/>
              <w:left w:w="15" w:type="dxa"/>
              <w:right w:w="15" w:type="dxa"/>
            </w:tcMar>
            <w:vAlign w:val="center"/>
          </w:tcPr>
          <w:p w14:paraId="299A27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1433" w:type="dxa"/>
            <w:tcBorders>
              <w:top w:val="nil"/>
              <w:left w:val="nil"/>
              <w:bottom w:val="nil"/>
              <w:right w:val="nil"/>
            </w:tcBorders>
            <w:shd w:val="clear" w:color="auto" w:fill="auto"/>
            <w:noWrap/>
            <w:tcMar>
              <w:top w:w="15" w:type="dxa"/>
              <w:left w:w="15" w:type="dxa"/>
              <w:right w:w="15" w:type="dxa"/>
            </w:tcMar>
            <w:vAlign w:val="center"/>
          </w:tcPr>
          <w:p w14:paraId="1E6C4E68">
            <w:pPr>
              <w:jc w:val="center"/>
              <w:rPr>
                <w:rFonts w:hint="eastAsia" w:ascii="宋体" w:hAnsi="宋体" w:eastAsia="宋体" w:cs="宋体"/>
                <w:i w:val="0"/>
                <w:color w:val="000000"/>
                <w:sz w:val="24"/>
                <w:szCs w:val="24"/>
                <w:u w:val="none"/>
              </w:rPr>
            </w:pPr>
          </w:p>
        </w:tc>
        <w:tc>
          <w:tcPr>
            <w:tcW w:w="1433" w:type="dxa"/>
            <w:tcBorders>
              <w:top w:val="nil"/>
              <w:left w:val="nil"/>
              <w:bottom w:val="nil"/>
              <w:right w:val="nil"/>
            </w:tcBorders>
            <w:shd w:val="clear" w:color="auto" w:fill="auto"/>
            <w:noWrap/>
            <w:tcMar>
              <w:top w:w="15" w:type="dxa"/>
              <w:left w:w="15" w:type="dxa"/>
              <w:right w:w="15" w:type="dxa"/>
            </w:tcMar>
            <w:vAlign w:val="center"/>
          </w:tcPr>
          <w:p w14:paraId="38A57420">
            <w:pPr>
              <w:jc w:val="center"/>
              <w:rPr>
                <w:rFonts w:hint="eastAsia" w:ascii="宋体" w:hAnsi="宋体" w:eastAsia="宋体" w:cs="宋体"/>
                <w:i w:val="0"/>
                <w:color w:val="000000"/>
                <w:sz w:val="24"/>
                <w:szCs w:val="24"/>
                <w:u w:val="none"/>
              </w:rPr>
            </w:pPr>
          </w:p>
        </w:tc>
        <w:tc>
          <w:tcPr>
            <w:tcW w:w="841" w:type="dxa"/>
            <w:tcBorders>
              <w:top w:val="nil"/>
              <w:left w:val="nil"/>
              <w:bottom w:val="nil"/>
              <w:right w:val="nil"/>
            </w:tcBorders>
            <w:shd w:val="clear" w:color="auto" w:fill="auto"/>
            <w:noWrap/>
            <w:tcMar>
              <w:top w:w="15" w:type="dxa"/>
              <w:left w:w="15" w:type="dxa"/>
              <w:right w:w="15" w:type="dxa"/>
            </w:tcMar>
            <w:vAlign w:val="center"/>
          </w:tcPr>
          <w:p w14:paraId="62820642">
            <w:pPr>
              <w:jc w:val="center"/>
              <w:rPr>
                <w:rFonts w:hint="eastAsia" w:ascii="宋体" w:hAnsi="宋体" w:eastAsia="宋体" w:cs="宋体"/>
                <w:i w:val="0"/>
                <w:color w:val="000000"/>
                <w:sz w:val="24"/>
                <w:szCs w:val="24"/>
                <w:u w:val="none"/>
              </w:rPr>
            </w:pPr>
          </w:p>
        </w:tc>
      </w:tr>
    </w:tbl>
    <w:p w14:paraId="53C02028">
      <w:pPr>
        <w:jc w:val="center"/>
        <w:rPr>
          <w:rFonts w:hint="eastAsia" w:asciiTheme="majorEastAsia" w:hAnsiTheme="majorEastAsia" w:eastAsiaTheme="majorEastAsia" w:cstheme="majorEastAsia"/>
          <w:b/>
          <w:bCs/>
          <w:sz w:val="44"/>
          <w:szCs w:val="44"/>
        </w:rPr>
      </w:pPr>
    </w:p>
    <w:p w14:paraId="2211E4BC">
      <w:pPr>
        <w:jc w:val="left"/>
        <w:rPr>
          <w:rFonts w:hint="eastAsia"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NzExY2JlYmUzYjdmYjQzNTUxYWQxYTAyOWFjOTMifQ=="/>
  </w:docVars>
  <w:rsids>
    <w:rsidRoot w:val="00E15A7D"/>
    <w:rsid w:val="00042ACF"/>
    <w:rsid w:val="0005475B"/>
    <w:rsid w:val="00086ABE"/>
    <w:rsid w:val="000B09C1"/>
    <w:rsid w:val="000B54CD"/>
    <w:rsid w:val="000D60A0"/>
    <w:rsid w:val="001224E6"/>
    <w:rsid w:val="0013364C"/>
    <w:rsid w:val="00137BFA"/>
    <w:rsid w:val="001472ED"/>
    <w:rsid w:val="00153DA6"/>
    <w:rsid w:val="001A28D3"/>
    <w:rsid w:val="001A42E4"/>
    <w:rsid w:val="00262CBD"/>
    <w:rsid w:val="00263979"/>
    <w:rsid w:val="00285C90"/>
    <w:rsid w:val="002B51A0"/>
    <w:rsid w:val="002B7743"/>
    <w:rsid w:val="002D1143"/>
    <w:rsid w:val="002D5C37"/>
    <w:rsid w:val="002E5036"/>
    <w:rsid w:val="00323088"/>
    <w:rsid w:val="00325FA4"/>
    <w:rsid w:val="00330AAC"/>
    <w:rsid w:val="00346B71"/>
    <w:rsid w:val="00370B68"/>
    <w:rsid w:val="00370C3F"/>
    <w:rsid w:val="00376512"/>
    <w:rsid w:val="00390628"/>
    <w:rsid w:val="003A4017"/>
    <w:rsid w:val="003B2389"/>
    <w:rsid w:val="003C5BE2"/>
    <w:rsid w:val="003C7FEE"/>
    <w:rsid w:val="003E187B"/>
    <w:rsid w:val="003F0D00"/>
    <w:rsid w:val="00406B72"/>
    <w:rsid w:val="00406D94"/>
    <w:rsid w:val="0041646A"/>
    <w:rsid w:val="004220E4"/>
    <w:rsid w:val="00436F25"/>
    <w:rsid w:val="00452492"/>
    <w:rsid w:val="004567CB"/>
    <w:rsid w:val="004641C6"/>
    <w:rsid w:val="004859E1"/>
    <w:rsid w:val="004E55EF"/>
    <w:rsid w:val="004F64EE"/>
    <w:rsid w:val="00514D1E"/>
    <w:rsid w:val="005313A4"/>
    <w:rsid w:val="00534EE3"/>
    <w:rsid w:val="0055517E"/>
    <w:rsid w:val="00582B71"/>
    <w:rsid w:val="005D2AC5"/>
    <w:rsid w:val="005D4CE2"/>
    <w:rsid w:val="00612CB0"/>
    <w:rsid w:val="00623640"/>
    <w:rsid w:val="0063213D"/>
    <w:rsid w:val="00645C3C"/>
    <w:rsid w:val="00655612"/>
    <w:rsid w:val="00656839"/>
    <w:rsid w:val="006966B0"/>
    <w:rsid w:val="00713A83"/>
    <w:rsid w:val="007159DE"/>
    <w:rsid w:val="007208B7"/>
    <w:rsid w:val="007930ED"/>
    <w:rsid w:val="007F4905"/>
    <w:rsid w:val="008130B6"/>
    <w:rsid w:val="00893A0F"/>
    <w:rsid w:val="0089624B"/>
    <w:rsid w:val="008E25E3"/>
    <w:rsid w:val="008F21E2"/>
    <w:rsid w:val="00902C1F"/>
    <w:rsid w:val="0092567D"/>
    <w:rsid w:val="00932261"/>
    <w:rsid w:val="009347DA"/>
    <w:rsid w:val="009513BB"/>
    <w:rsid w:val="00963FD0"/>
    <w:rsid w:val="00966A72"/>
    <w:rsid w:val="009C5941"/>
    <w:rsid w:val="009C6321"/>
    <w:rsid w:val="009C6DF5"/>
    <w:rsid w:val="009C7470"/>
    <w:rsid w:val="009D4249"/>
    <w:rsid w:val="00A015A7"/>
    <w:rsid w:val="00A71413"/>
    <w:rsid w:val="00AD03B0"/>
    <w:rsid w:val="00AD2EAB"/>
    <w:rsid w:val="00AE1D55"/>
    <w:rsid w:val="00AE24B8"/>
    <w:rsid w:val="00AF1D65"/>
    <w:rsid w:val="00B17B90"/>
    <w:rsid w:val="00B52ED5"/>
    <w:rsid w:val="00B6129D"/>
    <w:rsid w:val="00BB70BF"/>
    <w:rsid w:val="00BC3D38"/>
    <w:rsid w:val="00BC3E60"/>
    <w:rsid w:val="00BC64B9"/>
    <w:rsid w:val="00BD7AB8"/>
    <w:rsid w:val="00BE1D8C"/>
    <w:rsid w:val="00C45B1C"/>
    <w:rsid w:val="00C62773"/>
    <w:rsid w:val="00C647B6"/>
    <w:rsid w:val="00C66DDB"/>
    <w:rsid w:val="00C7774A"/>
    <w:rsid w:val="00CB147B"/>
    <w:rsid w:val="00CB22A7"/>
    <w:rsid w:val="00CB64AC"/>
    <w:rsid w:val="00D02A7D"/>
    <w:rsid w:val="00D1651A"/>
    <w:rsid w:val="00D32E52"/>
    <w:rsid w:val="00D442FE"/>
    <w:rsid w:val="00D44D35"/>
    <w:rsid w:val="00D75C3D"/>
    <w:rsid w:val="00DA2C56"/>
    <w:rsid w:val="00DB73B4"/>
    <w:rsid w:val="00E15A7D"/>
    <w:rsid w:val="00E27F73"/>
    <w:rsid w:val="00E318B3"/>
    <w:rsid w:val="00E34A9C"/>
    <w:rsid w:val="00E43DF4"/>
    <w:rsid w:val="00E73078"/>
    <w:rsid w:val="00EA3A2F"/>
    <w:rsid w:val="00F55572"/>
    <w:rsid w:val="01617787"/>
    <w:rsid w:val="02706262"/>
    <w:rsid w:val="06023448"/>
    <w:rsid w:val="085E4CA1"/>
    <w:rsid w:val="0867688F"/>
    <w:rsid w:val="0A3E7B18"/>
    <w:rsid w:val="0B286772"/>
    <w:rsid w:val="0C4850AD"/>
    <w:rsid w:val="0D286EEB"/>
    <w:rsid w:val="0E200DD9"/>
    <w:rsid w:val="10622103"/>
    <w:rsid w:val="1192787E"/>
    <w:rsid w:val="1220088B"/>
    <w:rsid w:val="132238B8"/>
    <w:rsid w:val="13603215"/>
    <w:rsid w:val="15E038FD"/>
    <w:rsid w:val="15E211F7"/>
    <w:rsid w:val="15E36A3E"/>
    <w:rsid w:val="16C46C37"/>
    <w:rsid w:val="18FF3723"/>
    <w:rsid w:val="19F66496"/>
    <w:rsid w:val="19F93C9B"/>
    <w:rsid w:val="1A18361C"/>
    <w:rsid w:val="1A2521DD"/>
    <w:rsid w:val="1B577A36"/>
    <w:rsid w:val="1D573933"/>
    <w:rsid w:val="1F6C46FC"/>
    <w:rsid w:val="1FF07F3A"/>
    <w:rsid w:val="2186678C"/>
    <w:rsid w:val="22AD1669"/>
    <w:rsid w:val="23EE5BE7"/>
    <w:rsid w:val="245162D1"/>
    <w:rsid w:val="25BC5F46"/>
    <w:rsid w:val="277F4E92"/>
    <w:rsid w:val="278B7B24"/>
    <w:rsid w:val="27CF5DD3"/>
    <w:rsid w:val="2813686E"/>
    <w:rsid w:val="28FF5EF4"/>
    <w:rsid w:val="2A91576B"/>
    <w:rsid w:val="2CC74884"/>
    <w:rsid w:val="2D7B4196"/>
    <w:rsid w:val="2F2A4B34"/>
    <w:rsid w:val="324B3080"/>
    <w:rsid w:val="32833846"/>
    <w:rsid w:val="33825EB8"/>
    <w:rsid w:val="33CE03F4"/>
    <w:rsid w:val="344A1F9E"/>
    <w:rsid w:val="3AF216FF"/>
    <w:rsid w:val="3C126F45"/>
    <w:rsid w:val="3E4B17C6"/>
    <w:rsid w:val="3F7A7CE6"/>
    <w:rsid w:val="403A1C8F"/>
    <w:rsid w:val="40C31CB6"/>
    <w:rsid w:val="43CE2E1A"/>
    <w:rsid w:val="4850558F"/>
    <w:rsid w:val="494145DD"/>
    <w:rsid w:val="4A021269"/>
    <w:rsid w:val="4AB9410E"/>
    <w:rsid w:val="4ABC7C42"/>
    <w:rsid w:val="4D854C83"/>
    <w:rsid w:val="4DB668B2"/>
    <w:rsid w:val="4FEA7732"/>
    <w:rsid w:val="5049712E"/>
    <w:rsid w:val="508D165B"/>
    <w:rsid w:val="50E06E6F"/>
    <w:rsid w:val="52B81CA8"/>
    <w:rsid w:val="535F493D"/>
    <w:rsid w:val="54422B9B"/>
    <w:rsid w:val="548A4B3B"/>
    <w:rsid w:val="55F85AD5"/>
    <w:rsid w:val="565463B1"/>
    <w:rsid w:val="57782822"/>
    <w:rsid w:val="58BB4FD5"/>
    <w:rsid w:val="58C223CA"/>
    <w:rsid w:val="593C77D5"/>
    <w:rsid w:val="5A4157AE"/>
    <w:rsid w:val="5BE82147"/>
    <w:rsid w:val="5D2A4D65"/>
    <w:rsid w:val="5F1B7A79"/>
    <w:rsid w:val="61E8074B"/>
    <w:rsid w:val="63F2747D"/>
    <w:rsid w:val="64470CA7"/>
    <w:rsid w:val="6A2514FE"/>
    <w:rsid w:val="6AC31451"/>
    <w:rsid w:val="6C136D6D"/>
    <w:rsid w:val="6C86497B"/>
    <w:rsid w:val="6D396CA7"/>
    <w:rsid w:val="6D4351A0"/>
    <w:rsid w:val="6F152FC7"/>
    <w:rsid w:val="70172DDB"/>
    <w:rsid w:val="703A0CFE"/>
    <w:rsid w:val="730A1149"/>
    <w:rsid w:val="73F96586"/>
    <w:rsid w:val="78E72747"/>
    <w:rsid w:val="796E07C0"/>
    <w:rsid w:val="799314ED"/>
    <w:rsid w:val="7E8E06E9"/>
    <w:rsid w:val="7F33309F"/>
    <w:rsid w:val="7F35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4"/>
    <w:autoRedefine/>
    <w:qFormat/>
    <w:uiPriority w:val="10"/>
    <w:pPr>
      <w:spacing w:before="240" w:after="60"/>
      <w:jc w:val="center"/>
      <w:outlineLvl w:val="0"/>
    </w:pPr>
    <w:rPr>
      <w:rFonts w:asciiTheme="majorHAnsi" w:hAnsiTheme="majorHAnsi" w:cstheme="majorBidi"/>
      <w:b/>
      <w:bCs/>
      <w:sz w:val="32"/>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000FF"/>
      <w:u w:val="single"/>
    </w:rPr>
  </w:style>
  <w:style w:type="character" w:customStyle="1" w:styleId="12">
    <w:name w:val="页眉 Char"/>
    <w:basedOn w:val="10"/>
    <w:link w:val="5"/>
    <w:autoRedefine/>
    <w:semiHidden/>
    <w:qFormat/>
    <w:uiPriority w:val="99"/>
    <w:rPr>
      <w:kern w:val="2"/>
      <w:sz w:val="18"/>
      <w:szCs w:val="18"/>
    </w:rPr>
  </w:style>
  <w:style w:type="character" w:customStyle="1" w:styleId="13">
    <w:name w:val="页脚 Char"/>
    <w:basedOn w:val="10"/>
    <w:link w:val="4"/>
    <w:autoRedefine/>
    <w:semiHidden/>
    <w:qFormat/>
    <w:uiPriority w:val="99"/>
    <w:rPr>
      <w:kern w:val="2"/>
      <w:sz w:val="18"/>
      <w:szCs w:val="18"/>
    </w:rPr>
  </w:style>
  <w:style w:type="character" w:customStyle="1" w:styleId="14">
    <w:name w:val="标题 Char"/>
    <w:basedOn w:val="10"/>
    <w:link w:val="7"/>
    <w:autoRedefine/>
    <w:qFormat/>
    <w:uiPriority w:val="10"/>
    <w:rPr>
      <w:rFonts w:asciiTheme="majorHAnsi" w:hAnsiTheme="majorHAnsi" w:cstheme="majorBidi"/>
      <w:b/>
      <w:bCs/>
      <w:kern w:val="2"/>
      <w:sz w:val="32"/>
      <w:szCs w:val="32"/>
    </w:rPr>
  </w:style>
  <w:style w:type="character" w:customStyle="1" w:styleId="15">
    <w:name w:val="font31"/>
    <w:basedOn w:val="10"/>
    <w:autoRedefine/>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444</Words>
  <Characters>504</Characters>
  <Lines>1</Lines>
  <Paragraphs>1</Paragraphs>
  <TotalTime>1026</TotalTime>
  <ScaleCrop>false</ScaleCrop>
  <LinksUpToDate>false</LinksUpToDate>
  <CharactersWithSpaces>541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2011-04-12T02:33:00Z</dcterms:created>
  <dc:creator>Administrator</dc:creator>
  <cp:lastModifiedBy>叶礼服</cp:lastModifiedBy>
  <cp:lastPrinted>2025-05-29T01:24:00Z</cp:lastPrinted>
  <dcterms:modified xsi:type="dcterms:W3CDTF">2025-06-12T08:18:47Z</dcterms:modified>
  <dc:title>关于蔡卫义副会长率团赴加拿大参观国际假肢矫形器展览会并顺访美国的请示</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8FCB783421B745C4A875BA9A81AFC9EF_13</vt:lpwstr>
  </property>
  <property fmtid="{D5CDD505-2E9C-101B-9397-08002B2CF9AE}" pid="4" name="KSOTemplateDocerSaveRecord">
    <vt:lpwstr>eyJoZGlkIjoiMTgzNDYxN2IwODliMmIzYTY3MWU2OGUyNDVmNWFmNTgiLCJ1c2VySWQiOiIzOTA2NDQ4MjkifQ==</vt:lpwstr>
  </property>
</Properties>
</file>